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205812333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Teaching Note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ind w:firstLine="45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 example,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4807197" cy="209561"/>
            <wp:effectExtent b="0" l="0" r="0" t="0"/>
            <wp:docPr id="205812333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pgSz w:h="16850" w:w="11920" w:orient="portrait"/>
          <w:pgMar w:bottom="280" w:top="1420" w:left="960" w:right="745.275590551182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630"/>
        </w:tabs>
        <w:ind w:left="45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9">
      <w:pPr>
        <w:tabs>
          <w:tab w:val="left" w:leader="none" w:pos="630"/>
        </w:tabs>
        <w:spacing w:before="122" w:lineRule="auto"/>
        <w:ind w:left="45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3,000 – 8,000 words (indicative).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0"/>
        </w:tabs>
        <w:spacing w:before="238" w:lineRule="auto"/>
        <w:ind w:left="45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Rule="auto"/>
        <w:ind w:left="48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The following suggested structure is not cast in stone but would normally be adhered to (with variations) for articles based on empirical research. JALT is also open to conceptual papers.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Case study summary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Teaching objectives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Target audience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Suggested teaching strategy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Teaching method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20" w:right="11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Potential task-related assessment questions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" w:lineRule="auto"/>
        <w:ind w:left="47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ind w:left="4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205812333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1400" w:left="96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1767F8"/>
    <w:pPr>
      <w:widowControl w:val="1"/>
    </w:pPr>
    <w:rPr>
      <w:rFonts w:cs="Angsana New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773259"/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0Tq0ugjIBg665W3muDrGmzy5CA==">CgMxLjA4AHIhMUNWTWtlTlFMa1h2b1pOUUt6RG9KUXVDejlUS1VrWE5o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2024-08-12T23:25:00Z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