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right="-432.9921259842507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21455666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Teaching Case and Note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ind w:left="270" w:firstLine="1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4807197" cy="209561"/>
            <wp:effectExtent b="0" l="0" r="0" t="0"/>
            <wp:docPr id="21455666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pgSz w:h="16850" w:w="11920" w:orient="portrait"/>
          <w:pgMar w:bottom="280" w:top="1420" w:left="960" w:right="13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ind w:hanging="3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9">
      <w:pPr>
        <w:spacing w:before="122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3,000 – 8,000 words (indicative).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5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firstLine="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Rule="auto"/>
        <w:ind w:left="480" w:right="203"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following suggested structure is not cast in stone.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ind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Case study summary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Teaching objectives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Target audience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Suggested teaching strategy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Teaching method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firstLine="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Potential task-related assessment questions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" w:lineRule="auto"/>
        <w:ind w:left="47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left="4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21455666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" w:lineRule="auto"/>
        <w:ind w:firstLine="45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1380" w:left="96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1767F8"/>
    <w:pPr>
      <w:widowControl w:val="1"/>
    </w:pPr>
    <w:rPr>
      <w:rFonts w:cs="Angsana New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731098"/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Qopcz8GJPo126AmbozNZdBTgw==">CgMxLjA4AHIhMUx0M1BhTEFKZWt6NjdaYlBLNjVrQzlYNC1YR29aMEh0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2024-08-12T23:34:00Z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